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4F" w:rsidRPr="00F4474F" w:rsidRDefault="00F4474F" w:rsidP="00484AB1">
      <w:pPr>
        <w:pStyle w:val="a9"/>
        <w:rPr>
          <w:rFonts w:hint="cs"/>
          <w:cs/>
        </w:rPr>
      </w:pPr>
      <w:r w:rsidRPr="00F4474F">
        <w:rPr>
          <w:rFonts w:hint="cs"/>
          <w:cs/>
        </w:rPr>
        <w:t>ประชาสัมพันธ์และดำเนินการเก็บรวบรวมขยะอันตรายจากครัวเรือน</w:t>
      </w:r>
    </w:p>
    <w:p w:rsidR="00F4474F" w:rsidRDefault="00F4474F" w:rsidP="00F4474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noProof/>
          <w:color w:val="212529"/>
          <w:sz w:val="32"/>
          <w:szCs w:val="32"/>
        </w:rPr>
      </w:pPr>
    </w:p>
    <w:p w:rsidR="00F4474F" w:rsidRPr="00F4474F" w:rsidRDefault="00F4474F" w:rsidP="00F4474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noProof/>
          <w:color w:val="212529"/>
          <w:sz w:val="32"/>
          <w:szCs w:val="32"/>
        </w:rPr>
        <w:drawing>
          <wp:inline distT="0" distB="0" distL="0" distR="0" wp14:anchorId="40028183" wp14:editId="3B2F4686">
            <wp:extent cx="6012180" cy="4122420"/>
            <wp:effectExtent l="0" t="0" r="7620" b="0"/>
            <wp:docPr id="1" name="Picture 2" descr="http://www.kohyai.go.th/tmp/7add71537c82dec12918e4dbebdce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hyai.go.th/tmp/7add71537c82dec12918e4dbebdce6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4F" w:rsidRPr="00F4474F" w:rsidRDefault="00F4474F" w:rsidP="00F4474F">
      <w:pPr>
        <w:shd w:val="clear" w:color="auto" w:fill="FFFFFF"/>
        <w:spacing w:line="240" w:lineRule="auto"/>
        <w:jc w:val="center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1/1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>          “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ขยะอันตราย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 xml:space="preserve">” 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 xml:space="preserve">หรือที่เรียกว่า 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>“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ขยะพิษ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 xml:space="preserve">” </w:t>
      </w:r>
      <w:r w:rsidRPr="00F4474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เป็นขยะที่สร้างปัญหาแก่ระบบนิเวศมากที่สุด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ซึ่งมีอยู่ทั้งในบ้านเรือน ที่พักอาศัย อาคารสำนักงาน ร้านอาหาร และร้านค้าต่างๆ หากไม่ได้รับการจัดการอย่างถูกวิธีจะก่อให้เกิดผลกระทบต่อสุขภาพอนามัยของประชาชนทั้งในระยะสั้นและระยะยาว และก่อให้เกิดมลพิษทางสิ่งแวดล้อม อาทิ มลพิษต่อแหล่งน้ำ พื้นดิน และอากาศ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ขยะอันตราย หรือขยะพิษ คือขยะที่ก่อให้เกิดอันตรายต่อคนและสิ่งแวดล้อม ขยะอันตรายจากบ้านหรือในครัวเรือนมักจะถูกมองข้ามไปอย่างละเลย ส่วนใหญ่จะไปโฟกัสกันที่ขยะอันตรายจากภาคอุตสาหกรรมกันมากกว่า ทั้งที่ขยะอันตรายภาคครัวเรือนสามารถสร้างผลเสียต่อสุขภาพและสิ่งแวดล้อมได้อย่างมาก ถ้าไม่มีการจัดเก็บและทำลายอย่างถูกวิธี ได้แก่ ขยะที่ปนเปื้อนสารพิษสารเคมี สามารถลุกติดไฟได้ มีฤทธิ์กัดกร่อนไวไฟ หรือสามารถระเบิดได้ เช่น ขวดยาฆ่าแมลง กระป๋องสเปรย์ หลอดไฟเก่า ถ่านไฟฉาย เป็นต้น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ดังนั้น การป้องกันขยะอันตรายไม่ให้เกิดผลเสียต่อผู้คนและสิ่งแวดล้อมคือ จิตสำนึกและความรับผิดชอบในการจัดเก็บนำมาทิ้งอย่างถูกวิธีและถูกหลักของการกำจัดขยะอันตราย ซึ่งมีถังขยะแยกประเภทเป็นสีแดงโดยเฉพาะ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การบริหารจัดการขยะอันตรายเพื่อความปลอดภัยของผู้คนและสิ่งแวดล้อม มีแนวทางการกำจัดของเสียอันตรายจากชุมชนมีหลายวิธี ได้แก่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         1.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การคัดแยกเพื่อนำกลับไปใช้ใหม่ (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Reuse/Reclaim)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เป็นการกำจัดของเสียอันตรายบางประเภทที่สามารถรีไซเคิลวัสดุมาใช้ในกระบวนการผลิตได้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         2.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การปรับเสถียร/ฝังกลบ (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Stabilization/Secure Landfill)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เหมาะสำหรับของเสียอันตรายที่เป็นของแข็งหรือกากตะกอน เช่น กรดและด่าง ของแข็งปนเปื้อนโลหะหนักถ่านไฟฉาย สารเคมีที่เป็นพิษต่างๆ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lastRenderedPageBreak/>
        <w:t>          3.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การผสมของเสียเพื่อใช้เป็นเชื้อเพลิง (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Fuel Blending)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เป็นการกำจัดสารเคมีประเภทน้ำมันเครื่องหรือน้ำมันหล่อลื่นใช้แล้ว รวมทั้งของเสียอินทรีย์ สารที่สามารถติดไฟได้ เช่น กาว สี ตัวทำละลาย เป็นต้น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         4.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การกำจัดโดยระบบเตาเผา (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Incineration)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เหมาะสำหรับของเสียอันตรายที่ไม่สามารถกำจัดได้ด้วยวิธีการปรับเสถียรและฝังกลบได้ ของเสียที่นำมาเผาต้องมีค่าความร้อนค่อนข้างสูง เช่น น้ำมันหล่อลื่นใช้แล้ว ตัวทำละลาย สารกำจัดศัตรูพืช เป็นต้น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         5.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ของเสียที่ต้องใช้ความชำนาญเฉพาะด้านในการกำจัด หรือกำจัดโดยวิธีพิเศษ ได้แก่ วัตถุระเบิด สารกัมมันตรังสี ของเสียติดเชื้อจากโรงพยาบาล เป็นต้น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หนึ่งในแนวทางการจัดการปัญหาดังกล่าวอย่างมีประสิทธิภาพ คือ การดำเนินการโดยภาคเอกชนหรือ ความร่วมมือระหว่างภาคเอกชนกับภาครัฐหรือการร่วมทุนระหว่างรัฐกับเอกชน ทำการเก็บรวบรวม การขนส่ง และกำจัดของเสียอันตราย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การจัดการของเสียประเภทนี้มีหลักการจัดการ คือ ต้องเริ่มตั้งแต่จุดเริ่มต้นควรลดปริมาณของเสียอันตรายให้น้อยที่สุด เพื่อจะได้มีของเสียที่ต้องรวบรวมเก็บขนและนำไปกำจัดน้อยลง และที่สำคัญการเก็บรวบรวมของเสียอันตรายในบ้านเรือนก็คือ ต้องแยกของเสียอันตรายออกจากขยะทั่วไป ถ้าเป็นของเหลวไม่ควรเทรวมกันเพราะอาจจะเกิดปฏิกิริยาระหว่างสารได้ แต่ควรเก็บในที่เฉพาะมิดชิดและพ้นมือเด็ก เช่น ยาที่หมดอายุ ยาฆ่าแมลง เป็นต้น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เมื่อแยกของเสียอันตรายที่จะทิ้งไว้เฉพาะแล้ว ใส่ถุงพลาสติกและนำไปทิ้งในถังฝาสีแดง ซึ่งจะมีวางไว้ตามจุดต่างๆ เช่น สถานีบริการน้ำมันเชื้อเพลิง ห้างสรรพสินค้า ฯลฯ ซึ่งขยะของเสียดังกล่าวจะถูกเก็บรวบรวมไปกำจัดที่ศูนย์กำจัดของเสียอันตรายต่อไป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ส่วนในพื้นที่ที่ไม่มีถังฝาสีแดงให้นำของเสียอันตรายใส่ถุงพลาสติกและเขียนข้อความที่หน้าถุงว่าเป็นขยะอันตราย เพื่อหน่วยงานที่รับผิดชอบเก็บขนจะได้นำไปกำจัดให้ถูกวิธี เพราะถ้าไปกองรวมไว้กับขยะอื่นอาจจะมีสารพิษจากของเสียอันตรายออกมาปนเปื้อนในดินได้ ซึ่งทำให้เกิดปัญหาต่อสิ่งแวดล้อมในที่สุด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</w:p>
    <w:p w:rsidR="00F4474F" w:rsidRPr="00F4474F" w:rsidRDefault="00F4474F" w:rsidP="00F4474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         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สำหรับในพื้นที่ตำบล ตำบลเกาะ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ปันหยี</w:t>
      </w:r>
      <w:r w:rsidRPr="00F4474F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ได้จัดให้ถังขยะอันตราย ณ จุดบริการต่างๆ ดังนี้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714"/>
        <w:gridCol w:w="4361"/>
      </w:tblGrid>
      <w:tr w:rsidR="00F4474F" w:rsidRPr="00F4474F" w:rsidTr="00F4474F"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จุดที่ตั้งภาชนะ</w:t>
            </w:r>
          </w:p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รองรับของอันตราย</w:t>
            </w:r>
          </w:p>
        </w:tc>
      </w:tr>
      <w:tr w:rsidR="00F4474F" w:rsidRPr="00F4474F" w:rsidTr="00F4474F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ท่าด่าน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 ที่ทำการ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องค์การบริหารส่วนตำบลเกาะปันหยี</w:t>
            </w:r>
          </w:p>
        </w:tc>
      </w:tr>
      <w:tr w:rsidR="00F4474F" w:rsidRPr="00F4474F" w:rsidTr="00F4474F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เกาะปันหยี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484AB1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 รพ.สต.บ้าน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ปันหยี</w:t>
            </w:r>
            <w:bookmarkStart w:id="0" w:name="_GoBack"/>
            <w:bookmarkEnd w:id="0"/>
          </w:p>
        </w:tc>
      </w:tr>
      <w:tr w:rsidR="00F4474F" w:rsidRPr="00F4474F" w:rsidTr="00F4474F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เกาะไม้ไผ่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 รพ.สต.บ้าน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เกาะไม้ไผ่</w:t>
            </w:r>
          </w:p>
        </w:tc>
      </w:tr>
      <w:tr w:rsidR="00F4474F" w:rsidRPr="00F4474F" w:rsidTr="00F4474F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เกาะหมากน้อย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74F" w:rsidRPr="00F4474F" w:rsidRDefault="00F4474F" w:rsidP="00F4474F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ณ </w:t>
            </w:r>
            <w:r w:rsidRPr="00F4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เกาะ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หมากน้อย</w:t>
            </w:r>
          </w:p>
        </w:tc>
      </w:tr>
    </w:tbl>
    <w:p w:rsidR="00877768" w:rsidRPr="00F4474F" w:rsidRDefault="00877768">
      <w:pPr>
        <w:rPr>
          <w:rFonts w:hint="cs"/>
          <w:cs/>
        </w:rPr>
      </w:pPr>
    </w:p>
    <w:sectPr w:rsidR="00877768" w:rsidRPr="00F4474F" w:rsidSect="00F4474F">
      <w:pgSz w:w="11906" w:h="16838"/>
      <w:pgMar w:top="1440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E4" w:rsidRDefault="00141BE4" w:rsidP="00F4474F">
      <w:pPr>
        <w:spacing w:after="0" w:line="240" w:lineRule="auto"/>
      </w:pPr>
      <w:r>
        <w:separator/>
      </w:r>
    </w:p>
  </w:endnote>
  <w:endnote w:type="continuationSeparator" w:id="0">
    <w:p w:rsidR="00141BE4" w:rsidRDefault="00141BE4" w:rsidP="00F4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E4" w:rsidRDefault="00141BE4" w:rsidP="00F4474F">
      <w:pPr>
        <w:spacing w:after="0" w:line="240" w:lineRule="auto"/>
      </w:pPr>
      <w:r>
        <w:separator/>
      </w:r>
    </w:p>
  </w:footnote>
  <w:footnote w:type="continuationSeparator" w:id="0">
    <w:p w:rsidR="00141BE4" w:rsidRDefault="00141BE4" w:rsidP="00F44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4F"/>
    <w:rsid w:val="00141BE4"/>
    <w:rsid w:val="002C4D2D"/>
    <w:rsid w:val="00484AB1"/>
    <w:rsid w:val="00615D10"/>
    <w:rsid w:val="00663665"/>
    <w:rsid w:val="00877768"/>
    <w:rsid w:val="008C4783"/>
    <w:rsid w:val="009421E6"/>
    <w:rsid w:val="00B56AE7"/>
    <w:rsid w:val="00E60324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474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4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4474F"/>
  </w:style>
  <w:style w:type="paragraph" w:styleId="a7">
    <w:name w:val="footer"/>
    <w:basedOn w:val="a"/>
    <w:link w:val="a8"/>
    <w:uiPriority w:val="99"/>
    <w:unhideWhenUsed/>
    <w:rsid w:val="00F4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4474F"/>
  </w:style>
  <w:style w:type="paragraph" w:styleId="a9">
    <w:name w:val="Title"/>
    <w:basedOn w:val="a"/>
    <w:next w:val="a"/>
    <w:link w:val="aa"/>
    <w:uiPriority w:val="10"/>
    <w:qFormat/>
    <w:rsid w:val="00484AB1"/>
    <w:pPr>
      <w:shd w:val="clear" w:color="auto" w:fill="FFFFFF"/>
      <w:spacing w:after="0" w:line="240" w:lineRule="auto"/>
      <w:jc w:val="center"/>
    </w:pPr>
    <w:rPr>
      <w:rFonts w:ascii="TH SarabunIT๙" w:eastAsia="Times New Roman" w:hAnsi="TH SarabunIT๙" w:cs="TH SarabunIT๙"/>
      <w:b/>
      <w:bCs/>
      <w:noProof/>
      <w:color w:val="212529"/>
      <w:sz w:val="32"/>
      <w:szCs w:val="32"/>
    </w:rPr>
  </w:style>
  <w:style w:type="character" w:customStyle="1" w:styleId="aa">
    <w:name w:val="ชื่อเรื่อง อักขระ"/>
    <w:basedOn w:val="a0"/>
    <w:link w:val="a9"/>
    <w:uiPriority w:val="10"/>
    <w:rsid w:val="00484AB1"/>
    <w:rPr>
      <w:rFonts w:ascii="TH SarabunIT๙" w:eastAsia="Times New Roman" w:hAnsi="TH SarabunIT๙" w:cs="TH SarabunIT๙"/>
      <w:b/>
      <w:bCs/>
      <w:noProof/>
      <w:color w:val="212529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474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4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4474F"/>
  </w:style>
  <w:style w:type="paragraph" w:styleId="a7">
    <w:name w:val="footer"/>
    <w:basedOn w:val="a"/>
    <w:link w:val="a8"/>
    <w:uiPriority w:val="99"/>
    <w:unhideWhenUsed/>
    <w:rsid w:val="00F4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4474F"/>
  </w:style>
  <w:style w:type="paragraph" w:styleId="a9">
    <w:name w:val="Title"/>
    <w:basedOn w:val="a"/>
    <w:next w:val="a"/>
    <w:link w:val="aa"/>
    <w:uiPriority w:val="10"/>
    <w:qFormat/>
    <w:rsid w:val="00484AB1"/>
    <w:pPr>
      <w:shd w:val="clear" w:color="auto" w:fill="FFFFFF"/>
      <w:spacing w:after="0" w:line="240" w:lineRule="auto"/>
      <w:jc w:val="center"/>
    </w:pPr>
    <w:rPr>
      <w:rFonts w:ascii="TH SarabunIT๙" w:eastAsia="Times New Roman" w:hAnsi="TH SarabunIT๙" w:cs="TH SarabunIT๙"/>
      <w:b/>
      <w:bCs/>
      <w:noProof/>
      <w:color w:val="212529"/>
      <w:sz w:val="32"/>
      <w:szCs w:val="32"/>
    </w:rPr>
  </w:style>
  <w:style w:type="character" w:customStyle="1" w:styleId="aa">
    <w:name w:val="ชื่อเรื่อง อักขระ"/>
    <w:basedOn w:val="a0"/>
    <w:link w:val="a9"/>
    <w:uiPriority w:val="10"/>
    <w:rsid w:val="00484AB1"/>
    <w:rPr>
      <w:rFonts w:ascii="TH SarabunIT๙" w:eastAsia="Times New Roman" w:hAnsi="TH SarabunIT๙" w:cs="TH SarabunIT๙"/>
      <w:b/>
      <w:bCs/>
      <w:noProof/>
      <w:color w:val="212529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08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54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585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2022-05-11T02:23:00Z</dcterms:created>
  <dcterms:modified xsi:type="dcterms:W3CDTF">2022-05-11T02:42:00Z</dcterms:modified>
</cp:coreProperties>
</file>